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E0" w:rsidRPr="00EB418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السادة /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مالكي الوحدات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                                                       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/>
          <w:b/>
          <w:bCs/>
          <w:color w:val="000000" w:themeColor="text1"/>
          <w:sz w:val="18"/>
          <w:szCs w:val="18"/>
        </w:rPr>
        <w:t xml:space="preserve">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المحترمون</w:t>
      </w:r>
    </w:p>
    <w:p w:rsidR="00A30CE0" w:rsidRPr="00F84C2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السلام عليكم ورحمة الله وبركاته،</w:t>
      </w:r>
    </w:p>
    <w:p w:rsidR="00A30CE0" w:rsidRPr="00A30CE0" w:rsidRDefault="00A30CE0" w:rsidP="00A30CE0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Alinma TheSans" w:hAnsi="Alinma TheSans" w:cs="Alinma TheSans"/>
          <w:color w:val="FF0000"/>
          <w:sz w:val="20"/>
          <w:szCs w:val="20"/>
        </w:rPr>
      </w:pPr>
    </w:p>
    <w:p w:rsidR="00D908DB" w:rsidRPr="00954DC3" w:rsidRDefault="00BF5820" w:rsidP="00A30CE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D908DB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مذكرة معلومات </w:t>
      </w:r>
      <w:r w:rsidR="00843366" w:rsidRPr="00843366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للإصدارات الأولية </w:t>
      </w:r>
      <w:r w:rsidR="00D908DB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D908DB" w:rsidRPr="005E07AB" w:rsidRDefault="00D908DB" w:rsidP="00D908DB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D908DB" w:rsidRPr="00A1656E" w:rsidTr="00B716E4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843366"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للإصدارات الأولية</w:t>
            </w:r>
          </w:p>
        </w:tc>
      </w:tr>
      <w:tr w:rsidR="00D908DB" w:rsidRPr="00A1656E" w:rsidTr="00B716E4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مذكرة معلومات الصندوق</w:t>
            </w:r>
          </w:p>
        </w:tc>
      </w:tr>
      <w:tr w:rsidR="00D908DB" w:rsidRPr="00A1656E" w:rsidTr="00B716E4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A1656E" w:rsidTr="00910E76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A1656E" w:rsidTr="00910E76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A1656E" w:rsidTr="00910E76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D908DB" w:rsidRPr="000978AC" w:rsidRDefault="00D908DB" w:rsidP="00D908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597DDA" w:rsidRDefault="00597DDA" w:rsidP="00597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597DDA" w:rsidRPr="00000313" w:rsidRDefault="00597DDA" w:rsidP="00597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</w:pPr>
      <w:bookmarkStart w:id="0" w:name="_GoBack"/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bookmarkEnd w:id="0"/>
    <w:p w:rsidR="00D908DB" w:rsidRDefault="00D908DB" w:rsidP="00D908DB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D908DB" w:rsidRDefault="00D908DB" w:rsidP="00D908DB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D908DB" w:rsidRPr="00954DC3" w:rsidRDefault="00BF5820" w:rsidP="00BF582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lastRenderedPageBreak/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D908DB" w:rsidRPr="00954DC3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شروط وأحكام</w:t>
      </w:r>
      <w:r w:rsidR="00D908DB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843366" w:rsidRPr="00843366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للإصدارات الأولية </w:t>
      </w:r>
      <w:r w:rsidR="00D908DB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D908DB" w:rsidRPr="005E07AB" w:rsidRDefault="00D908DB" w:rsidP="00D908DB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D908DB" w:rsidRPr="00A1656E" w:rsidTr="00B716E4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843366"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للإصدارات الأولية</w:t>
            </w:r>
          </w:p>
        </w:tc>
      </w:tr>
      <w:tr w:rsidR="00D908DB" w:rsidRPr="00A1656E" w:rsidTr="00B716E4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شروط واحكام الصندوق</w:t>
            </w:r>
          </w:p>
        </w:tc>
      </w:tr>
      <w:tr w:rsidR="00D908DB" w:rsidRPr="00A1656E" w:rsidTr="00B716E4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D908DB" w:rsidRPr="00A1656E" w:rsidRDefault="00D908DB" w:rsidP="00B716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A1656E" w:rsidTr="002D6FC2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A1656E" w:rsidTr="002D6FC2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A1656E" w:rsidTr="002D6FC2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A1656E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A1656E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A1656E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D908DB" w:rsidRPr="000978AC" w:rsidRDefault="00D908DB" w:rsidP="00D908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A1656E" w:rsidRDefault="00A1656E" w:rsidP="00A165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3B6E17" w:rsidRDefault="00597DDA" w:rsidP="00597DDA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3B6E17" w:rsidRDefault="003B6E17" w:rsidP="003B6E1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3B6E17" w:rsidRDefault="003B6E17" w:rsidP="003B6E1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3B6E17" w:rsidRDefault="003B6E17" w:rsidP="003B6E1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9172A2" w:rsidRDefault="009172A2" w:rsidP="00BF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</w:rPr>
      </w:pPr>
    </w:p>
    <w:sectPr w:rsidR="009172A2" w:rsidSect="0022494B">
      <w:headerReference w:type="default" r:id="rId8"/>
      <w:footerReference w:type="even" r:id="rId9"/>
      <w:footerReference w:type="default" r:id="rId10"/>
      <w:pgSz w:w="11907" w:h="16839" w:code="9"/>
      <w:pgMar w:top="1699" w:right="1555" w:bottom="2549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6B" w:rsidRDefault="003D4D6B">
      <w:r>
        <w:separator/>
      </w:r>
    </w:p>
  </w:endnote>
  <w:endnote w:type="continuationSeparator" w:id="0">
    <w:p w:rsidR="003D4D6B" w:rsidRDefault="003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nma TheSans"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75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27b0419d9e5ba39cf304db22" descr="{&quot;HashCode&quot;:-195669512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b0419d9e5ba39cf304db22" o:spid="_x0000_s1026" type="#_x0000_t202" alt="{&quot;HashCode&quot;:-1956695121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GxxEg8fAwAAO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660449488d60e2acc753a3b7" descr="{&quot;HashCode&quot;:-19566951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0449488d60e2acc753a3b7" o:spid="_x0000_s1027" type="#_x0000_t202" alt="{&quot;HashCode&quot;:-1956695121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OVhuC8fAwAAP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30E00" w:rsidRDefault="0043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6B" w:rsidRDefault="003D4D6B">
      <w:r>
        <w:separator/>
      </w:r>
    </w:p>
  </w:footnote>
  <w:footnote w:type="continuationSeparator" w:id="0">
    <w:p w:rsidR="003D4D6B" w:rsidRDefault="003D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 w:rsidP="00EB70FF">
    <w:pPr>
      <w:pStyle w:val="Header"/>
    </w:pPr>
  </w:p>
  <w:p w:rsidR="00430E00" w:rsidRDefault="00430E00" w:rsidP="00464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10"/>
    <w:multiLevelType w:val="hybridMultilevel"/>
    <w:tmpl w:val="98C66C7C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08776917"/>
    <w:multiLevelType w:val="hybridMultilevel"/>
    <w:tmpl w:val="51DA7C56"/>
    <w:lvl w:ilvl="0" w:tplc="70B8CF62">
      <w:start w:val="1"/>
      <w:numFmt w:val="arabicAbjad"/>
      <w:pStyle w:val="Heading3"/>
      <w:lvlText w:val="%1."/>
      <w:lvlJc w:val="left"/>
      <w:pPr>
        <w:ind w:left="720" w:hanging="360"/>
      </w:pPr>
      <w:rPr>
        <w:rFonts w:ascii="Sakkal Majalla" w:hAnsi="Sakkal Majalla" w:cs="Sakkal Majall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A8C"/>
    <w:multiLevelType w:val="hybridMultilevel"/>
    <w:tmpl w:val="917E002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07E"/>
    <w:multiLevelType w:val="hybridMultilevel"/>
    <w:tmpl w:val="12C0921E"/>
    <w:lvl w:ilvl="0" w:tplc="F4560EEE">
      <w:start w:val="26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 w15:restartNumberingAfterBreak="0">
    <w:nsid w:val="0D942AB6"/>
    <w:multiLevelType w:val="hybridMultilevel"/>
    <w:tmpl w:val="8FA4146E"/>
    <w:lvl w:ilvl="0" w:tplc="B7DC258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CEC"/>
    <w:multiLevelType w:val="hybridMultilevel"/>
    <w:tmpl w:val="B9FC8184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731"/>
    <w:multiLevelType w:val="hybridMultilevel"/>
    <w:tmpl w:val="770EEF46"/>
    <w:lvl w:ilvl="0" w:tplc="0ECC20CA">
      <w:start w:val="17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86B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00057"/>
    <w:multiLevelType w:val="hybridMultilevel"/>
    <w:tmpl w:val="63807D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2568"/>
    <w:multiLevelType w:val="hybridMultilevel"/>
    <w:tmpl w:val="7548D67E"/>
    <w:lvl w:ilvl="0" w:tplc="9B64C06A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D6139"/>
    <w:multiLevelType w:val="hybridMultilevel"/>
    <w:tmpl w:val="2B28E7D0"/>
    <w:lvl w:ilvl="0" w:tplc="CCBE4DB2">
      <w:numFmt w:val="bullet"/>
      <w:lvlText w:val="-"/>
      <w:lvlJc w:val="left"/>
      <w:pPr>
        <w:ind w:left="14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8FB5806"/>
    <w:multiLevelType w:val="hybridMultilevel"/>
    <w:tmpl w:val="4F886D9E"/>
    <w:lvl w:ilvl="0" w:tplc="04090001">
      <w:start w:val="1"/>
      <w:numFmt w:val="bullet"/>
      <w:lvlText w:val=""/>
      <w:lvlJc w:val="left"/>
      <w:pPr>
        <w:ind w:left="-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</w:abstractNum>
  <w:abstractNum w:abstractNumId="12" w15:restartNumberingAfterBreak="0">
    <w:nsid w:val="34C77903"/>
    <w:multiLevelType w:val="hybridMultilevel"/>
    <w:tmpl w:val="413E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C318B"/>
    <w:multiLevelType w:val="hybridMultilevel"/>
    <w:tmpl w:val="C28AD2BA"/>
    <w:lvl w:ilvl="0" w:tplc="78BAD7C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7C83549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5686B"/>
    <w:multiLevelType w:val="hybridMultilevel"/>
    <w:tmpl w:val="41C4825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3F125616"/>
    <w:multiLevelType w:val="hybridMultilevel"/>
    <w:tmpl w:val="837CC498"/>
    <w:lvl w:ilvl="0" w:tplc="E9AAD61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6F3C"/>
    <w:multiLevelType w:val="hybridMultilevel"/>
    <w:tmpl w:val="300A65BA"/>
    <w:lvl w:ilvl="0" w:tplc="83DE4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D7C"/>
    <w:multiLevelType w:val="hybridMultilevel"/>
    <w:tmpl w:val="D4B010B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566F"/>
    <w:multiLevelType w:val="hybridMultilevel"/>
    <w:tmpl w:val="06BEF0B8"/>
    <w:lvl w:ilvl="0" w:tplc="79205A34">
      <w:start w:val="26"/>
      <w:numFmt w:val="arabicAlpha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46D96"/>
    <w:multiLevelType w:val="hybridMultilevel"/>
    <w:tmpl w:val="CB52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B0846"/>
    <w:multiLevelType w:val="hybridMultilevel"/>
    <w:tmpl w:val="3BBABBF2"/>
    <w:lvl w:ilvl="0" w:tplc="4E429F94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15A99"/>
    <w:multiLevelType w:val="hybridMultilevel"/>
    <w:tmpl w:val="F1FC1AC0"/>
    <w:lvl w:ilvl="0" w:tplc="E2C2E9EE">
      <w:start w:val="7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52246D81"/>
    <w:multiLevelType w:val="hybridMultilevel"/>
    <w:tmpl w:val="E3A612DE"/>
    <w:lvl w:ilvl="0" w:tplc="0686C4C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E31"/>
    <w:multiLevelType w:val="hybridMultilevel"/>
    <w:tmpl w:val="E3A0FDA4"/>
    <w:lvl w:ilvl="0" w:tplc="729C6450">
      <w:start w:val="26"/>
      <w:numFmt w:val="bullet"/>
      <w:lvlText w:val="-"/>
      <w:lvlJc w:val="left"/>
      <w:pPr>
        <w:ind w:left="720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8DF"/>
    <w:multiLevelType w:val="hybridMultilevel"/>
    <w:tmpl w:val="2E56F58C"/>
    <w:lvl w:ilvl="0" w:tplc="18B4F1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4590"/>
    <w:multiLevelType w:val="hybridMultilevel"/>
    <w:tmpl w:val="E004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76379"/>
    <w:multiLevelType w:val="hybridMultilevel"/>
    <w:tmpl w:val="D6E8448A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3AC"/>
    <w:multiLevelType w:val="hybridMultilevel"/>
    <w:tmpl w:val="96E40C52"/>
    <w:lvl w:ilvl="0" w:tplc="2190EEBE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F67"/>
    <w:multiLevelType w:val="hybridMultilevel"/>
    <w:tmpl w:val="3DB22CF2"/>
    <w:lvl w:ilvl="0" w:tplc="CEEE2BF2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A6A32"/>
    <w:multiLevelType w:val="hybridMultilevel"/>
    <w:tmpl w:val="DEBC7D30"/>
    <w:lvl w:ilvl="0" w:tplc="78BAD7CC">
      <w:start w:val="1"/>
      <w:numFmt w:val="bullet"/>
      <w:lvlText w:val=""/>
      <w:lvlJc w:val="left"/>
      <w:pPr>
        <w:ind w:left="225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1" w15:restartNumberingAfterBreak="0">
    <w:nsid w:val="6BC83095"/>
    <w:multiLevelType w:val="hybridMultilevel"/>
    <w:tmpl w:val="05AE5CEA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2" w15:restartNumberingAfterBreak="0">
    <w:nsid w:val="73567CF0"/>
    <w:multiLevelType w:val="hybridMultilevel"/>
    <w:tmpl w:val="BA52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00239"/>
    <w:multiLevelType w:val="hybridMultilevel"/>
    <w:tmpl w:val="C692793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705"/>
    <w:multiLevelType w:val="hybridMultilevel"/>
    <w:tmpl w:val="4C8034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E79F8"/>
    <w:multiLevelType w:val="hybridMultilevel"/>
    <w:tmpl w:val="C0260CFC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2C2"/>
    <w:multiLevelType w:val="hybridMultilevel"/>
    <w:tmpl w:val="0A385F4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2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36"/>
  </w:num>
  <w:num w:numId="15">
    <w:abstractNumId w:val="18"/>
  </w:num>
  <w:num w:numId="16">
    <w:abstractNumId w:val="33"/>
  </w:num>
  <w:num w:numId="17">
    <w:abstractNumId w:val="11"/>
  </w:num>
  <w:num w:numId="18">
    <w:abstractNumId w:val="12"/>
  </w:num>
  <w:num w:numId="19">
    <w:abstractNumId w:val="30"/>
  </w:num>
  <w:num w:numId="20">
    <w:abstractNumId w:val="25"/>
  </w:num>
  <w:num w:numId="21">
    <w:abstractNumId w:val="17"/>
  </w:num>
  <w:num w:numId="22">
    <w:abstractNumId w:val="15"/>
  </w:num>
  <w:num w:numId="23">
    <w:abstractNumId w:val="27"/>
  </w:num>
  <w:num w:numId="24">
    <w:abstractNumId w:val="35"/>
  </w:num>
  <w:num w:numId="25">
    <w:abstractNumId w:val="28"/>
  </w:num>
  <w:num w:numId="26">
    <w:abstractNumId w:val="13"/>
  </w:num>
  <w:num w:numId="27">
    <w:abstractNumId w:val="9"/>
  </w:num>
  <w:num w:numId="28">
    <w:abstractNumId w:val="6"/>
  </w:num>
  <w:num w:numId="29">
    <w:abstractNumId w:val="21"/>
  </w:num>
  <w:num w:numId="30">
    <w:abstractNumId w:val="16"/>
  </w:num>
  <w:num w:numId="31">
    <w:abstractNumId w:val="19"/>
  </w:num>
  <w:num w:numId="32">
    <w:abstractNumId w:val="29"/>
  </w:num>
  <w:num w:numId="33">
    <w:abstractNumId w:val="7"/>
  </w:num>
  <w:num w:numId="34">
    <w:abstractNumId w:val="14"/>
  </w:num>
  <w:num w:numId="35">
    <w:abstractNumId w:val="20"/>
  </w:num>
  <w:num w:numId="36">
    <w:abstractNumId w:val="34"/>
  </w:num>
  <w:num w:numId="37">
    <w:abstractNumId w:val="8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3"/>
    <w:rsid w:val="00000313"/>
    <w:rsid w:val="00011013"/>
    <w:rsid w:val="000117AE"/>
    <w:rsid w:val="0001646A"/>
    <w:rsid w:val="00020A96"/>
    <w:rsid w:val="000258A5"/>
    <w:rsid w:val="00027FD8"/>
    <w:rsid w:val="00030B72"/>
    <w:rsid w:val="00034AC5"/>
    <w:rsid w:val="00035D0C"/>
    <w:rsid w:val="00035D7D"/>
    <w:rsid w:val="00036AA2"/>
    <w:rsid w:val="00042BC9"/>
    <w:rsid w:val="0005242D"/>
    <w:rsid w:val="00057443"/>
    <w:rsid w:val="0005751B"/>
    <w:rsid w:val="00061571"/>
    <w:rsid w:val="00072324"/>
    <w:rsid w:val="000748F3"/>
    <w:rsid w:val="00082745"/>
    <w:rsid w:val="000978AC"/>
    <w:rsid w:val="000A327C"/>
    <w:rsid w:val="000B5997"/>
    <w:rsid w:val="000B6059"/>
    <w:rsid w:val="000C676D"/>
    <w:rsid w:val="000E33E2"/>
    <w:rsid w:val="000E357F"/>
    <w:rsid w:val="000E3ED5"/>
    <w:rsid w:val="000E3EF7"/>
    <w:rsid w:val="000E666D"/>
    <w:rsid w:val="000E7F0D"/>
    <w:rsid w:val="000F222A"/>
    <w:rsid w:val="00102A5F"/>
    <w:rsid w:val="00110343"/>
    <w:rsid w:val="0011184A"/>
    <w:rsid w:val="00113182"/>
    <w:rsid w:val="00127009"/>
    <w:rsid w:val="0014671E"/>
    <w:rsid w:val="00154DB8"/>
    <w:rsid w:val="00161EF1"/>
    <w:rsid w:val="0016528D"/>
    <w:rsid w:val="00165488"/>
    <w:rsid w:val="001659B2"/>
    <w:rsid w:val="00167F75"/>
    <w:rsid w:val="001704C8"/>
    <w:rsid w:val="00181A5A"/>
    <w:rsid w:val="00192BCF"/>
    <w:rsid w:val="001A2825"/>
    <w:rsid w:val="001B41B5"/>
    <w:rsid w:val="001C22E0"/>
    <w:rsid w:val="001C48E9"/>
    <w:rsid w:val="001D0C79"/>
    <w:rsid w:val="001D164D"/>
    <w:rsid w:val="001D1C50"/>
    <w:rsid w:val="001E39BA"/>
    <w:rsid w:val="001F0EE8"/>
    <w:rsid w:val="001F1430"/>
    <w:rsid w:val="002078BA"/>
    <w:rsid w:val="00216E89"/>
    <w:rsid w:val="0022494B"/>
    <w:rsid w:val="00231746"/>
    <w:rsid w:val="00236089"/>
    <w:rsid w:val="00237883"/>
    <w:rsid w:val="00272669"/>
    <w:rsid w:val="00277774"/>
    <w:rsid w:val="00283CE8"/>
    <w:rsid w:val="0029616C"/>
    <w:rsid w:val="00297323"/>
    <w:rsid w:val="002E310A"/>
    <w:rsid w:val="002E78C4"/>
    <w:rsid w:val="002F178F"/>
    <w:rsid w:val="003162AA"/>
    <w:rsid w:val="003217FE"/>
    <w:rsid w:val="00336076"/>
    <w:rsid w:val="00336E31"/>
    <w:rsid w:val="00344739"/>
    <w:rsid w:val="00346550"/>
    <w:rsid w:val="0034761E"/>
    <w:rsid w:val="0035063E"/>
    <w:rsid w:val="0035567F"/>
    <w:rsid w:val="00356BD5"/>
    <w:rsid w:val="00390273"/>
    <w:rsid w:val="003946F5"/>
    <w:rsid w:val="00396E3A"/>
    <w:rsid w:val="003A195F"/>
    <w:rsid w:val="003B5A12"/>
    <w:rsid w:val="003B6E17"/>
    <w:rsid w:val="003C4A54"/>
    <w:rsid w:val="003C6E02"/>
    <w:rsid w:val="003C758F"/>
    <w:rsid w:val="003D11E3"/>
    <w:rsid w:val="003D456B"/>
    <w:rsid w:val="003D4D6B"/>
    <w:rsid w:val="003D5DED"/>
    <w:rsid w:val="003E3D20"/>
    <w:rsid w:val="003E67D2"/>
    <w:rsid w:val="003E734A"/>
    <w:rsid w:val="003F324D"/>
    <w:rsid w:val="003F6922"/>
    <w:rsid w:val="004023D4"/>
    <w:rsid w:val="00405CE7"/>
    <w:rsid w:val="00407EF5"/>
    <w:rsid w:val="004150CD"/>
    <w:rsid w:val="00430041"/>
    <w:rsid w:val="00430E00"/>
    <w:rsid w:val="004472CA"/>
    <w:rsid w:val="0045317D"/>
    <w:rsid w:val="004624AD"/>
    <w:rsid w:val="004635E3"/>
    <w:rsid w:val="00464D93"/>
    <w:rsid w:val="00465709"/>
    <w:rsid w:val="00481DF1"/>
    <w:rsid w:val="004A451D"/>
    <w:rsid w:val="004B1797"/>
    <w:rsid w:val="004C0750"/>
    <w:rsid w:val="004C719D"/>
    <w:rsid w:val="004D30F5"/>
    <w:rsid w:val="004F2789"/>
    <w:rsid w:val="004F4468"/>
    <w:rsid w:val="004F6648"/>
    <w:rsid w:val="00512081"/>
    <w:rsid w:val="0052072D"/>
    <w:rsid w:val="005236A2"/>
    <w:rsid w:val="00523C83"/>
    <w:rsid w:val="0052446A"/>
    <w:rsid w:val="005408E5"/>
    <w:rsid w:val="00550EC8"/>
    <w:rsid w:val="00586B41"/>
    <w:rsid w:val="00587961"/>
    <w:rsid w:val="00597460"/>
    <w:rsid w:val="00597DDA"/>
    <w:rsid w:val="005A0D78"/>
    <w:rsid w:val="005A51A9"/>
    <w:rsid w:val="005B1C3F"/>
    <w:rsid w:val="005C070E"/>
    <w:rsid w:val="005C2A6D"/>
    <w:rsid w:val="005C2DB2"/>
    <w:rsid w:val="005C3CA6"/>
    <w:rsid w:val="005E07AB"/>
    <w:rsid w:val="005E07CD"/>
    <w:rsid w:val="005F02A6"/>
    <w:rsid w:val="005F086E"/>
    <w:rsid w:val="005F3E85"/>
    <w:rsid w:val="005F7FE2"/>
    <w:rsid w:val="00602EE2"/>
    <w:rsid w:val="00603AE2"/>
    <w:rsid w:val="00630917"/>
    <w:rsid w:val="00635B91"/>
    <w:rsid w:val="00635C8C"/>
    <w:rsid w:val="00645732"/>
    <w:rsid w:val="00662575"/>
    <w:rsid w:val="0067191D"/>
    <w:rsid w:val="00680B73"/>
    <w:rsid w:val="006903D0"/>
    <w:rsid w:val="006A5023"/>
    <w:rsid w:val="006B08D3"/>
    <w:rsid w:val="006B73BB"/>
    <w:rsid w:val="006C27FE"/>
    <w:rsid w:val="006C3A30"/>
    <w:rsid w:val="006E0A77"/>
    <w:rsid w:val="006E2A86"/>
    <w:rsid w:val="006E681E"/>
    <w:rsid w:val="007126D4"/>
    <w:rsid w:val="007420BE"/>
    <w:rsid w:val="007436FF"/>
    <w:rsid w:val="00745274"/>
    <w:rsid w:val="00747A32"/>
    <w:rsid w:val="00751B0A"/>
    <w:rsid w:val="0075475F"/>
    <w:rsid w:val="007622CA"/>
    <w:rsid w:val="00763737"/>
    <w:rsid w:val="00767DBD"/>
    <w:rsid w:val="00770EFA"/>
    <w:rsid w:val="00793944"/>
    <w:rsid w:val="007A0352"/>
    <w:rsid w:val="007B552D"/>
    <w:rsid w:val="007C4264"/>
    <w:rsid w:val="007C63C5"/>
    <w:rsid w:val="007D081F"/>
    <w:rsid w:val="007D3FEF"/>
    <w:rsid w:val="007D40A2"/>
    <w:rsid w:val="007E4614"/>
    <w:rsid w:val="007F1A40"/>
    <w:rsid w:val="007F69BB"/>
    <w:rsid w:val="008000D1"/>
    <w:rsid w:val="00810C13"/>
    <w:rsid w:val="00820A04"/>
    <w:rsid w:val="00827277"/>
    <w:rsid w:val="00834BA5"/>
    <w:rsid w:val="00841DD2"/>
    <w:rsid w:val="00843366"/>
    <w:rsid w:val="0084549C"/>
    <w:rsid w:val="00854500"/>
    <w:rsid w:val="00855C14"/>
    <w:rsid w:val="0088297D"/>
    <w:rsid w:val="00886B67"/>
    <w:rsid w:val="008A29DA"/>
    <w:rsid w:val="008A529E"/>
    <w:rsid w:val="008A7B84"/>
    <w:rsid w:val="008D1BFA"/>
    <w:rsid w:val="008D4CB6"/>
    <w:rsid w:val="008D4FE3"/>
    <w:rsid w:val="008E4B37"/>
    <w:rsid w:val="008E5404"/>
    <w:rsid w:val="008F79D1"/>
    <w:rsid w:val="008F7E9F"/>
    <w:rsid w:val="00912965"/>
    <w:rsid w:val="009172A2"/>
    <w:rsid w:val="00924CC8"/>
    <w:rsid w:val="00927F48"/>
    <w:rsid w:val="00940E9D"/>
    <w:rsid w:val="00954DC3"/>
    <w:rsid w:val="00956EF9"/>
    <w:rsid w:val="00970FE6"/>
    <w:rsid w:val="00974E89"/>
    <w:rsid w:val="00975F76"/>
    <w:rsid w:val="00977129"/>
    <w:rsid w:val="00990806"/>
    <w:rsid w:val="00991D3A"/>
    <w:rsid w:val="00992F34"/>
    <w:rsid w:val="00994B1B"/>
    <w:rsid w:val="00994C78"/>
    <w:rsid w:val="009A7BA0"/>
    <w:rsid w:val="009B102B"/>
    <w:rsid w:val="009B311B"/>
    <w:rsid w:val="009C28D4"/>
    <w:rsid w:val="009C7D62"/>
    <w:rsid w:val="009D1994"/>
    <w:rsid w:val="009D25FC"/>
    <w:rsid w:val="009E1717"/>
    <w:rsid w:val="00A059F0"/>
    <w:rsid w:val="00A07548"/>
    <w:rsid w:val="00A10151"/>
    <w:rsid w:val="00A11018"/>
    <w:rsid w:val="00A1504E"/>
    <w:rsid w:val="00A154E4"/>
    <w:rsid w:val="00A16547"/>
    <w:rsid w:val="00A1656E"/>
    <w:rsid w:val="00A2045F"/>
    <w:rsid w:val="00A30CE0"/>
    <w:rsid w:val="00A40134"/>
    <w:rsid w:val="00A43281"/>
    <w:rsid w:val="00A615B2"/>
    <w:rsid w:val="00A872F5"/>
    <w:rsid w:val="00A87724"/>
    <w:rsid w:val="00A93839"/>
    <w:rsid w:val="00AB0F5E"/>
    <w:rsid w:val="00AC21EC"/>
    <w:rsid w:val="00AE07A0"/>
    <w:rsid w:val="00AE0DAF"/>
    <w:rsid w:val="00AE2CFE"/>
    <w:rsid w:val="00AE4D88"/>
    <w:rsid w:val="00B02020"/>
    <w:rsid w:val="00B102B9"/>
    <w:rsid w:val="00B11AB7"/>
    <w:rsid w:val="00B14042"/>
    <w:rsid w:val="00B152CA"/>
    <w:rsid w:val="00B311EC"/>
    <w:rsid w:val="00B3401F"/>
    <w:rsid w:val="00B367B8"/>
    <w:rsid w:val="00B424AB"/>
    <w:rsid w:val="00B44674"/>
    <w:rsid w:val="00B504D9"/>
    <w:rsid w:val="00B54CAE"/>
    <w:rsid w:val="00B62501"/>
    <w:rsid w:val="00B665D1"/>
    <w:rsid w:val="00B70011"/>
    <w:rsid w:val="00B97B96"/>
    <w:rsid w:val="00BC06D8"/>
    <w:rsid w:val="00BD1D10"/>
    <w:rsid w:val="00BE0DBF"/>
    <w:rsid w:val="00BE38C8"/>
    <w:rsid w:val="00BE4238"/>
    <w:rsid w:val="00BE4532"/>
    <w:rsid w:val="00BF186A"/>
    <w:rsid w:val="00BF5820"/>
    <w:rsid w:val="00BF6739"/>
    <w:rsid w:val="00C07A5D"/>
    <w:rsid w:val="00C167BC"/>
    <w:rsid w:val="00C173F3"/>
    <w:rsid w:val="00C207BC"/>
    <w:rsid w:val="00C30472"/>
    <w:rsid w:val="00C4041E"/>
    <w:rsid w:val="00C47697"/>
    <w:rsid w:val="00C6688A"/>
    <w:rsid w:val="00C673A5"/>
    <w:rsid w:val="00C75327"/>
    <w:rsid w:val="00C8382F"/>
    <w:rsid w:val="00C90974"/>
    <w:rsid w:val="00C9669A"/>
    <w:rsid w:val="00CA0DDC"/>
    <w:rsid w:val="00CB5EA0"/>
    <w:rsid w:val="00CC161F"/>
    <w:rsid w:val="00CC2D68"/>
    <w:rsid w:val="00CD1630"/>
    <w:rsid w:val="00CE057C"/>
    <w:rsid w:val="00CE0A73"/>
    <w:rsid w:val="00CE568C"/>
    <w:rsid w:val="00CF0A79"/>
    <w:rsid w:val="00D0051D"/>
    <w:rsid w:val="00D02486"/>
    <w:rsid w:val="00D076B5"/>
    <w:rsid w:val="00D077F9"/>
    <w:rsid w:val="00D33582"/>
    <w:rsid w:val="00D34868"/>
    <w:rsid w:val="00D5068A"/>
    <w:rsid w:val="00D509FB"/>
    <w:rsid w:val="00D566CD"/>
    <w:rsid w:val="00D76B33"/>
    <w:rsid w:val="00D77145"/>
    <w:rsid w:val="00D80CEB"/>
    <w:rsid w:val="00D833B3"/>
    <w:rsid w:val="00D85838"/>
    <w:rsid w:val="00D908DB"/>
    <w:rsid w:val="00DA02A6"/>
    <w:rsid w:val="00DB2D24"/>
    <w:rsid w:val="00DC337D"/>
    <w:rsid w:val="00DC3F4A"/>
    <w:rsid w:val="00DC6BD3"/>
    <w:rsid w:val="00DD6850"/>
    <w:rsid w:val="00DE3691"/>
    <w:rsid w:val="00DE78BA"/>
    <w:rsid w:val="00DF7A95"/>
    <w:rsid w:val="00E1252A"/>
    <w:rsid w:val="00E12AEB"/>
    <w:rsid w:val="00E145B8"/>
    <w:rsid w:val="00E21924"/>
    <w:rsid w:val="00E2608A"/>
    <w:rsid w:val="00E30DC6"/>
    <w:rsid w:val="00E35402"/>
    <w:rsid w:val="00E70B5B"/>
    <w:rsid w:val="00E800E2"/>
    <w:rsid w:val="00E85AAD"/>
    <w:rsid w:val="00E938DF"/>
    <w:rsid w:val="00EA3772"/>
    <w:rsid w:val="00EA3BB8"/>
    <w:rsid w:val="00EB148A"/>
    <w:rsid w:val="00EB418A"/>
    <w:rsid w:val="00EB70FF"/>
    <w:rsid w:val="00EC0051"/>
    <w:rsid w:val="00EC07C9"/>
    <w:rsid w:val="00ED5C0B"/>
    <w:rsid w:val="00EE5275"/>
    <w:rsid w:val="00EF1262"/>
    <w:rsid w:val="00F0414F"/>
    <w:rsid w:val="00F04D4E"/>
    <w:rsid w:val="00F10F03"/>
    <w:rsid w:val="00F1254F"/>
    <w:rsid w:val="00F16E96"/>
    <w:rsid w:val="00F349AD"/>
    <w:rsid w:val="00F36BB1"/>
    <w:rsid w:val="00F37CDE"/>
    <w:rsid w:val="00F37E47"/>
    <w:rsid w:val="00F51E5D"/>
    <w:rsid w:val="00F5232E"/>
    <w:rsid w:val="00F63D0D"/>
    <w:rsid w:val="00F7641F"/>
    <w:rsid w:val="00F76CCB"/>
    <w:rsid w:val="00F84786"/>
    <w:rsid w:val="00F84C2A"/>
    <w:rsid w:val="00FB6DDA"/>
    <w:rsid w:val="00FB7C3B"/>
    <w:rsid w:val="00FC4142"/>
    <w:rsid w:val="00FD2800"/>
    <w:rsid w:val="00FD52F1"/>
    <w:rsid w:val="00FD6207"/>
    <w:rsid w:val="00FE3A99"/>
    <w:rsid w:val="00FF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41A28"/>
  <w15:docId w15:val="{1C357935-5353-45F0-B9D7-5F74481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ListParagraph"/>
    <w:next w:val="Normal"/>
    <w:link w:val="Heading3Char"/>
    <w:qFormat/>
    <w:rsid w:val="005E07AB"/>
    <w:pPr>
      <w:keepNext/>
      <w:widowControl w:val="0"/>
      <w:numPr>
        <w:numId w:val="1"/>
      </w:numPr>
      <w:bidi/>
      <w:spacing w:after="0" w:line="240" w:lineRule="auto"/>
      <w:outlineLvl w:val="2"/>
    </w:pPr>
    <w:rPr>
      <w:rFonts w:ascii="Alinma TheSans" w:eastAsia="MS Mincho" w:hAnsi="Alinma TheSans" w:cs="Alinma TheSans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E8"/>
    <w:rPr>
      <w:sz w:val="22"/>
      <w:szCs w:val="22"/>
    </w:rPr>
  </w:style>
  <w:style w:type="paragraph" w:styleId="Header">
    <w:name w:val="header"/>
    <w:basedOn w:val="Normal"/>
    <w:link w:val="HeaderChar"/>
    <w:rsid w:val="00FE3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21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سرد الفقرات1,سرد الفقرات,List Paragraph1"/>
    <w:basedOn w:val="Normal"/>
    <w:link w:val="ListParagraphChar"/>
    <w:uiPriority w:val="34"/>
    <w:qFormat/>
    <w:rsid w:val="007F2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E07AB"/>
    <w:rPr>
      <w:rFonts w:ascii="Alinma TheSans" w:eastAsia="MS Mincho" w:hAnsi="Alinma TheSans" w:cs="Alinma TheSans"/>
      <w:b/>
      <w:bCs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C673A5"/>
    <w:pPr>
      <w:bidi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92F34"/>
    <w:rPr>
      <w:rFonts w:asciiTheme="minorHAnsi" w:eastAsiaTheme="minorEastAsia" w:hAnsiTheme="minorHAnsi" w:cstheme="minorBidi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00"/>
    <w:rPr>
      <w:b/>
      <w:bCs/>
    </w:rPr>
  </w:style>
  <w:style w:type="character" w:customStyle="1" w:styleId="HeaderChar">
    <w:name w:val="Header Char"/>
    <w:basedOn w:val="DefaultParagraphFont"/>
    <w:link w:val="Header"/>
    <w:rsid w:val="00EB70FF"/>
    <w:rPr>
      <w:sz w:val="22"/>
      <w:szCs w:val="22"/>
    </w:rPr>
  </w:style>
  <w:style w:type="character" w:customStyle="1" w:styleId="ListParagraphChar">
    <w:name w:val="List Paragraph Char"/>
    <w:aliases w:val="سرد الفقرات1 Char,سرد الفقرات Char,List Paragraph1 Char"/>
    <w:basedOn w:val="DefaultParagraphFont"/>
    <w:link w:val="ListParagraph"/>
    <w:uiPriority w:val="34"/>
    <w:locked/>
    <w:rsid w:val="008A29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EBB5-0878-4BF4-8518-ECA240BF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Alinma Bank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musaed</dc:creator>
  <cp:lastModifiedBy>Ahmed AbdulWahab Al Hassan</cp:lastModifiedBy>
  <cp:revision>10</cp:revision>
  <cp:lastPrinted>2020-10-20T12:22:00Z</cp:lastPrinted>
  <dcterms:created xsi:type="dcterms:W3CDTF">2020-10-21T11:20:00Z</dcterms:created>
  <dcterms:modified xsi:type="dcterms:W3CDTF">2020-10-21T12:59:00Z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604ed8b8-5d6f-461a-909e-ce01f63358ac</vt:lpwstr>
  </property>
  <property fmtid="{D5CDD505-2E9C-101B-9397-08002B2CF9AE}" pid="3" name="Classification">
    <vt:lpwstr>Private</vt:lpwstr>
  </property>
  <property fmtid="{D5CDD505-2E9C-101B-9397-08002B2CF9AE}" pid="4" name="TagOptions">
    <vt:lpwstr>NoLabel</vt:lpwstr>
  </property>
  <property fmtid="{D5CDD505-2E9C-101B-9397-08002B2CF9AE}" pid="5" name="MSIP_Label_9d779d82-8fad-431e-a518-43f86b7da674_Enabled">
    <vt:lpwstr>True</vt:lpwstr>
  </property>
  <property fmtid="{D5CDD505-2E9C-101B-9397-08002B2CF9AE}" pid="6" name="MSIP_Label_9d779d82-8fad-431e-a518-43f86b7da674_SiteId">
    <vt:lpwstr>7ec9b677-2acb-4a2b-98bf-7d575fccae49</vt:lpwstr>
  </property>
  <property fmtid="{D5CDD505-2E9C-101B-9397-08002B2CF9AE}" pid="7" name="MSIP_Label_9d779d82-8fad-431e-a518-43f86b7da674_Owner">
    <vt:lpwstr>nsarifii@alinma.com</vt:lpwstr>
  </property>
  <property fmtid="{D5CDD505-2E9C-101B-9397-08002B2CF9AE}" pid="8" name="MSIP_Label_9d779d82-8fad-431e-a518-43f86b7da674_SetDate">
    <vt:lpwstr>2019-12-30T07:45:18.2531715Z</vt:lpwstr>
  </property>
  <property fmtid="{D5CDD505-2E9C-101B-9397-08002B2CF9AE}" pid="9" name="MSIP_Label_9d779d82-8fad-431e-a518-43f86b7da674_Name">
    <vt:lpwstr>Internal</vt:lpwstr>
  </property>
  <property fmtid="{D5CDD505-2E9C-101B-9397-08002B2CF9AE}" pid="10" name="MSIP_Label_9d779d82-8fad-431e-a518-43f86b7da674_Application">
    <vt:lpwstr>Microsoft Azure Information Protection</vt:lpwstr>
  </property>
  <property fmtid="{D5CDD505-2E9C-101B-9397-08002B2CF9AE}" pid="11" name="MSIP_Label_9d779d82-8fad-431e-a518-43f86b7da674_Extended_MSFT_Method">
    <vt:lpwstr>Manual</vt:lpwstr>
  </property>
  <property fmtid="{D5CDD505-2E9C-101B-9397-08002B2CF9AE}" pid="12" name="Sensitivity">
    <vt:lpwstr>Internal</vt:lpwstr>
  </property>
</Properties>
</file>